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F567" w14:textId="1ADFE7BB" w:rsidR="00DD016B" w:rsidRPr="00DD016B" w:rsidRDefault="00DD016B" w:rsidP="00DD016B">
      <w:pPr>
        <w:jc w:val="left"/>
        <w:rPr>
          <w:rFonts w:ascii="EC Square Sans Pro" w:eastAsia="Calibri" w:hAnsi="EC Square Sans Pro" w:cs="Calibri"/>
          <w:color w:val="000000" w:themeColor="text1"/>
          <w:sz w:val="40"/>
          <w:szCs w:val="40"/>
        </w:rPr>
      </w:pPr>
      <w:r w:rsidRPr="00DD016B">
        <w:rPr>
          <w:rFonts w:ascii="EC Square Sans Pro" w:eastAsia="Calibri" w:hAnsi="EC Square Sans Pro" w:cs="Calibri"/>
          <w:b/>
          <w:bCs/>
          <w:color w:val="000000" w:themeColor="text1"/>
          <w:sz w:val="40"/>
          <w:szCs w:val="40"/>
        </w:rPr>
        <w:t>STATEMENT ON THE CONFIRMATION OF PHASE TWO OF DESTINATION EARTH</w:t>
      </w:r>
    </w:p>
    <w:p w14:paraId="5C52B23A"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b/>
          <w:bCs/>
          <w:color w:val="000000" w:themeColor="text1"/>
        </w:rPr>
        <w:t>13 December 2023</w:t>
      </w:r>
      <w:r w:rsidRPr="00353189">
        <w:rPr>
          <w:rFonts w:ascii="EC Square Sans Pro" w:eastAsia="Calibri" w:hAnsi="EC Square Sans Pro" w:cs="Calibri"/>
          <w:color w:val="000000" w:themeColor="text1"/>
        </w:rPr>
        <w:t>: The second phase of the Destination Earth (</w:t>
      </w:r>
      <w:proofErr w:type="spellStart"/>
      <w:r w:rsidRPr="00353189">
        <w:rPr>
          <w:rFonts w:ascii="EC Square Sans Pro" w:eastAsia="Calibri" w:hAnsi="EC Square Sans Pro" w:cs="Calibri"/>
          <w:color w:val="000000" w:themeColor="text1"/>
        </w:rPr>
        <w:t>DestinE</w:t>
      </w:r>
      <w:proofErr w:type="spellEnd"/>
      <w:r w:rsidRPr="00353189">
        <w:rPr>
          <w:rFonts w:ascii="EC Square Sans Pro" w:eastAsia="Calibri" w:hAnsi="EC Square Sans Pro" w:cs="Calibri"/>
          <w:color w:val="000000" w:themeColor="text1"/>
        </w:rPr>
        <w:t xml:space="preserve">) initiative has today been confirmed by the European Union and unanimously endorsed by the Councils of the 3 implementing entities delivering </w:t>
      </w:r>
      <w:proofErr w:type="spellStart"/>
      <w:r w:rsidRPr="00353189">
        <w:rPr>
          <w:rFonts w:ascii="EC Square Sans Pro" w:eastAsia="Calibri" w:hAnsi="EC Square Sans Pro" w:cs="Calibri"/>
          <w:color w:val="000000" w:themeColor="text1"/>
        </w:rPr>
        <w:t>DestinE</w:t>
      </w:r>
      <w:proofErr w:type="spellEnd"/>
      <w:r w:rsidRPr="00353189">
        <w:rPr>
          <w:rFonts w:ascii="EC Square Sans Pro" w:eastAsia="Calibri" w:hAnsi="EC Square Sans Pro" w:cs="Calibri"/>
          <w:color w:val="000000" w:themeColor="text1"/>
        </w:rPr>
        <w:t>. Commencing in mid-June of 2024, the 24-month phase will continue to be implemented by the three entrusted entities: the European Centre for Medium-Range Weather Forecasts (ECMWF), European Space Agency (ESA) and European Organisation for the Exploitation of Meteorological Satellites (EUMETSAT), under the leadership of the Directorate-General Communications Networks, Content and Technology (DG CNECT) of the European Commission.</w:t>
      </w:r>
    </w:p>
    <w:p w14:paraId="6B8C537A"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This European endeavour to create a digital twin of Earth will considerably enhance Europe’s ability to respond and adapt to extreme weather and climate change, strengthening its implementation of the twin green and digital transition.</w:t>
      </w:r>
    </w:p>
    <w:p w14:paraId="016B6B8E" w14:textId="77777777" w:rsidR="00DD016B" w:rsidRPr="00353189" w:rsidRDefault="00DD016B" w:rsidP="00DD016B">
      <w:pPr>
        <w:rPr>
          <w:rFonts w:ascii="EC Square Sans Pro" w:eastAsia="Calibri" w:hAnsi="EC Square Sans Pro" w:cs="Calibri"/>
          <w:color w:val="000000" w:themeColor="text1"/>
        </w:rPr>
      </w:pPr>
      <w:proofErr w:type="spellStart"/>
      <w:r w:rsidRPr="00353189">
        <w:rPr>
          <w:rFonts w:ascii="EC Square Sans Pro" w:eastAsia="Calibri" w:hAnsi="EC Square Sans Pro" w:cs="Calibri"/>
          <w:color w:val="000000" w:themeColor="text1"/>
        </w:rPr>
        <w:t>DestinE</w:t>
      </w:r>
      <w:proofErr w:type="spellEnd"/>
      <w:r w:rsidRPr="00353189">
        <w:rPr>
          <w:rFonts w:ascii="EC Square Sans Pro" w:eastAsia="Calibri" w:hAnsi="EC Square Sans Pro" w:cs="Calibri"/>
          <w:color w:val="000000" w:themeColor="text1"/>
        </w:rPr>
        <w:t xml:space="preserve"> will provide a novel information system with unprecedented levels of detail, quality and interactivity that will enable users to understand and explore how the Earth system will evolve under different scenarios. Sectors likely to be impacted by extreme events and climate change, such as agriculture, forestry, energy, public health and water resources will significantly benefit.  </w:t>
      </w:r>
    </w:p>
    <w:p w14:paraId="6234CA3B" w14:textId="77777777" w:rsidR="00DD016B" w:rsidRPr="00353189" w:rsidRDefault="00DD016B" w:rsidP="00DD016B">
      <w:pPr>
        <w:rPr>
          <w:rFonts w:ascii="EC Square Sans Pro" w:eastAsia="Calibri" w:hAnsi="EC Square Sans Pro" w:cs="Calibri"/>
          <w:color w:val="000000" w:themeColor="text1"/>
          <w:sz w:val="32"/>
          <w:szCs w:val="32"/>
        </w:rPr>
      </w:pPr>
      <w:r w:rsidRPr="00353189">
        <w:rPr>
          <w:rFonts w:ascii="EC Square Sans Pro" w:eastAsia="Calibri" w:hAnsi="EC Square Sans Pro" w:cs="Calibri"/>
          <w:b/>
          <w:bCs/>
          <w:color w:val="000000" w:themeColor="text1"/>
          <w:sz w:val="32"/>
          <w:szCs w:val="32"/>
        </w:rPr>
        <w:t>Progressing towards a ‘Digital Twin’ of Earth</w:t>
      </w:r>
      <w:r w:rsidRPr="00353189">
        <w:rPr>
          <w:rFonts w:ascii="EC Square Sans Pro" w:eastAsia="Calibri" w:hAnsi="EC Square Sans Pro" w:cs="Calibri"/>
          <w:i/>
          <w:iCs/>
          <w:color w:val="000000" w:themeColor="text1"/>
          <w:sz w:val="32"/>
          <w:szCs w:val="32"/>
        </w:rPr>
        <w:t xml:space="preserve"> </w:t>
      </w:r>
      <w:r w:rsidRPr="00353189">
        <w:rPr>
          <w:rFonts w:ascii="EC Square Sans Pro" w:eastAsia="Calibri" w:hAnsi="EC Square Sans Pro" w:cs="Calibri"/>
          <w:color w:val="000000" w:themeColor="text1"/>
          <w:sz w:val="32"/>
          <w:szCs w:val="32"/>
        </w:rPr>
        <w:t xml:space="preserve"> </w:t>
      </w:r>
    </w:p>
    <w:p w14:paraId="37D0B3E5"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color w:val="000000" w:themeColor="text1"/>
        </w:rPr>
        <w:t xml:space="preserve">The first phase of delivery (Dec 2021-June 2024) covered the preparation, piloting and implementation of all main components of the </w:t>
      </w:r>
      <w:proofErr w:type="spellStart"/>
      <w:r w:rsidRPr="00353189">
        <w:rPr>
          <w:rFonts w:ascii="EC Square Sans Pro" w:eastAsia="Calibri" w:hAnsi="EC Square Sans Pro" w:cs="Calibri"/>
          <w:color w:val="000000" w:themeColor="text1"/>
        </w:rPr>
        <w:t>DestinE</w:t>
      </w:r>
      <w:proofErr w:type="spellEnd"/>
      <w:r w:rsidRPr="00353189">
        <w:rPr>
          <w:rFonts w:ascii="EC Square Sans Pro" w:eastAsia="Calibri" w:hAnsi="EC Square Sans Pro" w:cs="Calibri"/>
          <w:color w:val="000000" w:themeColor="text1"/>
        </w:rPr>
        <w:t xml:space="preserve"> system, including the first two Earth-system Digital Twins, Digital Twin Engine, Data Lake and Core Service Platform.  </w:t>
      </w:r>
    </w:p>
    <w:p w14:paraId="5C9223B8"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 xml:space="preserve">In June 2024, </w:t>
      </w:r>
      <w:proofErr w:type="spellStart"/>
      <w:proofErr w:type="gramStart"/>
      <w:r w:rsidRPr="00353189">
        <w:rPr>
          <w:rFonts w:ascii="EC Square Sans Pro" w:eastAsia="Calibri" w:hAnsi="EC Square Sans Pro" w:cs="Calibri"/>
          <w:i/>
          <w:iCs/>
          <w:color w:val="000000" w:themeColor="text1"/>
        </w:rPr>
        <w:t>DestinE</w:t>
      </w:r>
      <w:proofErr w:type="spellEnd"/>
      <w:proofErr w:type="gramEnd"/>
      <w:r w:rsidRPr="00353189">
        <w:rPr>
          <w:rFonts w:ascii="EC Square Sans Pro" w:eastAsia="Calibri" w:hAnsi="EC Square Sans Pro" w:cs="Calibri"/>
          <w:i/>
          <w:iCs/>
          <w:color w:val="000000" w:themeColor="text1"/>
        </w:rPr>
        <w:t xml:space="preserve"> will enter its second phase, which will evolve the </w:t>
      </w:r>
      <w:proofErr w:type="spellStart"/>
      <w:r w:rsidRPr="00353189">
        <w:rPr>
          <w:rFonts w:ascii="EC Square Sans Pro" w:eastAsia="Calibri" w:hAnsi="EC Square Sans Pro" w:cs="Calibri"/>
          <w:i/>
          <w:iCs/>
          <w:color w:val="000000" w:themeColor="text1"/>
        </w:rPr>
        <w:t>DestinE</w:t>
      </w:r>
      <w:proofErr w:type="spellEnd"/>
      <w:r w:rsidRPr="00353189">
        <w:rPr>
          <w:rFonts w:ascii="EC Square Sans Pro" w:eastAsia="Calibri" w:hAnsi="EC Square Sans Pro" w:cs="Calibri"/>
          <w:i/>
          <w:iCs/>
          <w:color w:val="000000" w:themeColor="text1"/>
        </w:rPr>
        <w:t xml:space="preserve"> system and ramp-up operations, with a focus on users, consolidation, maintenance, and continuous evolution of the components of the </w:t>
      </w:r>
      <w:proofErr w:type="spellStart"/>
      <w:r w:rsidRPr="00353189">
        <w:rPr>
          <w:rFonts w:ascii="EC Square Sans Pro" w:eastAsia="Calibri" w:hAnsi="EC Square Sans Pro" w:cs="Calibri"/>
          <w:i/>
          <w:iCs/>
          <w:color w:val="000000" w:themeColor="text1"/>
        </w:rPr>
        <w:t>DestinE</w:t>
      </w:r>
      <w:proofErr w:type="spellEnd"/>
      <w:r w:rsidRPr="00353189">
        <w:rPr>
          <w:rFonts w:ascii="EC Square Sans Pro" w:eastAsia="Calibri" w:hAnsi="EC Square Sans Pro" w:cs="Calibri"/>
          <w:i/>
          <w:iCs/>
          <w:color w:val="000000" w:themeColor="text1"/>
        </w:rPr>
        <w:t xml:space="preserve"> system.</w:t>
      </w:r>
    </w:p>
    <w:p w14:paraId="6D712747" w14:textId="77777777" w:rsidR="00DD016B" w:rsidRPr="00353189" w:rsidRDefault="00DD016B" w:rsidP="00DD016B">
      <w:pPr>
        <w:pStyle w:val="ListParagraph"/>
        <w:numPr>
          <w:ilvl w:val="0"/>
          <w:numId w:val="25"/>
        </w:numPr>
        <w:spacing w:after="160" w:line="259" w:lineRule="auto"/>
        <w:jc w:val="left"/>
        <w:rPr>
          <w:rFonts w:ascii="EC Square Sans Pro" w:eastAsia="Calibri" w:hAnsi="EC Square Sans Pro" w:cs="Calibri"/>
          <w:color w:val="000000" w:themeColor="text1"/>
        </w:rPr>
      </w:pPr>
      <w:r w:rsidRPr="00353189">
        <w:rPr>
          <w:rFonts w:ascii="EC Square Sans Pro" w:eastAsia="Calibri" w:hAnsi="EC Square Sans Pro" w:cs="Calibri"/>
          <w:color w:val="000000" w:themeColor="text1"/>
        </w:rPr>
        <w:t xml:space="preserve">The first two Digital Twins; the </w:t>
      </w:r>
      <w:r w:rsidRPr="00353189">
        <w:rPr>
          <w:rFonts w:ascii="EC Square Sans Pro" w:eastAsia="Calibri" w:hAnsi="EC Square Sans Pro" w:cs="Calibri"/>
          <w:b/>
          <w:bCs/>
          <w:color w:val="000000" w:themeColor="text1"/>
        </w:rPr>
        <w:t xml:space="preserve">Digital Twin on Climate Change Adaptation </w:t>
      </w:r>
      <w:r w:rsidRPr="00353189">
        <w:rPr>
          <w:rFonts w:ascii="EC Square Sans Pro" w:eastAsia="Calibri" w:hAnsi="EC Square Sans Pro" w:cs="Calibri"/>
          <w:color w:val="000000" w:themeColor="text1"/>
        </w:rPr>
        <w:t>and the</w:t>
      </w:r>
      <w:r w:rsidRPr="00353189">
        <w:rPr>
          <w:rFonts w:ascii="EC Square Sans Pro" w:eastAsia="Calibri" w:hAnsi="EC Square Sans Pro" w:cs="Calibri"/>
          <w:b/>
          <w:bCs/>
          <w:color w:val="000000" w:themeColor="text1"/>
        </w:rPr>
        <w:t xml:space="preserve"> Digital Twin on Weather-induced Extremes, </w:t>
      </w:r>
      <w:r w:rsidRPr="00353189">
        <w:rPr>
          <w:rFonts w:ascii="EC Square Sans Pro" w:eastAsia="Calibri" w:hAnsi="EC Square Sans Pro" w:cs="Calibri"/>
          <w:color w:val="000000" w:themeColor="text1"/>
        </w:rPr>
        <w:t xml:space="preserve">implemented by ECMWF together with more than 60 partners across Europe, will transition towards operational-level execution. This will be achieved through evolving the configuration developed in phase 1, focusing on increasing the efficiency of performing complex earth system simulations on the </w:t>
      </w:r>
      <w:proofErr w:type="spellStart"/>
      <w:r w:rsidRPr="00353189">
        <w:rPr>
          <w:rFonts w:ascii="EC Square Sans Pro" w:eastAsia="Calibri" w:hAnsi="EC Square Sans Pro" w:cs="Calibri"/>
          <w:color w:val="000000" w:themeColor="text1"/>
        </w:rPr>
        <w:t>EuroHPC</w:t>
      </w:r>
      <w:proofErr w:type="spellEnd"/>
      <w:r w:rsidRPr="00353189">
        <w:rPr>
          <w:rFonts w:ascii="EC Square Sans Pro" w:eastAsia="Calibri" w:hAnsi="EC Square Sans Pro" w:cs="Calibri"/>
          <w:color w:val="000000" w:themeColor="text1"/>
        </w:rPr>
        <w:t xml:space="preserve"> supercomputers, refining the quality and enhancing the interactivity elements of the digital twins. </w:t>
      </w:r>
    </w:p>
    <w:p w14:paraId="28FCBC0A" w14:textId="77777777" w:rsidR="00DD016B" w:rsidRPr="00353189" w:rsidRDefault="00DD016B" w:rsidP="00DD016B">
      <w:pPr>
        <w:pStyle w:val="ListParagraph"/>
        <w:numPr>
          <w:ilvl w:val="0"/>
          <w:numId w:val="25"/>
        </w:numPr>
        <w:spacing w:after="160" w:line="259" w:lineRule="auto"/>
        <w:jc w:val="left"/>
        <w:rPr>
          <w:rFonts w:ascii="EC Square Sans Pro" w:eastAsia="Calibri" w:hAnsi="EC Square Sans Pro" w:cs="Calibri"/>
          <w:color w:val="000000" w:themeColor="text1"/>
        </w:rPr>
      </w:pPr>
      <w:r w:rsidRPr="00353189">
        <w:rPr>
          <w:rFonts w:ascii="EC Square Sans Pro" w:eastAsia="Calibri" w:hAnsi="EC Square Sans Pro" w:cs="Calibri"/>
          <w:color w:val="000000" w:themeColor="text1"/>
        </w:rPr>
        <w:t xml:space="preserve">The </w:t>
      </w:r>
      <w:r w:rsidRPr="00353189">
        <w:rPr>
          <w:rFonts w:ascii="EC Square Sans Pro" w:eastAsia="Calibri" w:hAnsi="EC Square Sans Pro" w:cs="Calibri"/>
          <w:b/>
          <w:bCs/>
          <w:color w:val="000000" w:themeColor="text1"/>
        </w:rPr>
        <w:t xml:space="preserve">Digital Twin Engine, </w:t>
      </w:r>
      <w:r w:rsidRPr="00353189">
        <w:rPr>
          <w:rFonts w:ascii="EC Square Sans Pro" w:eastAsia="Calibri" w:hAnsi="EC Square Sans Pro" w:cs="Calibri"/>
          <w:color w:val="000000" w:themeColor="text1"/>
        </w:rPr>
        <w:t xml:space="preserve">the software infrastructure needed to power the digital twins, handle and interact with their data, also implemented by ECMWF together with its many partners, will be evolved with a focus on scalability, portability and interoperability. A key area will be the transition of end-to-end workflows of the Digital Twins on </w:t>
      </w:r>
      <w:proofErr w:type="spellStart"/>
      <w:r w:rsidRPr="00353189">
        <w:rPr>
          <w:rFonts w:ascii="EC Square Sans Pro" w:eastAsia="Calibri" w:hAnsi="EC Square Sans Pro" w:cs="Calibri"/>
          <w:color w:val="000000" w:themeColor="text1"/>
        </w:rPr>
        <w:t>EuroHPC</w:t>
      </w:r>
      <w:proofErr w:type="spellEnd"/>
      <w:r w:rsidRPr="00353189">
        <w:rPr>
          <w:rFonts w:ascii="EC Square Sans Pro" w:eastAsia="Calibri" w:hAnsi="EC Square Sans Pro" w:cs="Calibri"/>
          <w:color w:val="000000" w:themeColor="text1"/>
        </w:rPr>
        <w:t xml:space="preserve"> towards an operation-level execution. </w:t>
      </w:r>
    </w:p>
    <w:p w14:paraId="02C69F2F" w14:textId="77777777" w:rsidR="00DD016B" w:rsidRDefault="00DD016B" w:rsidP="00DD016B">
      <w:pPr>
        <w:pStyle w:val="ListParagraph"/>
        <w:numPr>
          <w:ilvl w:val="0"/>
          <w:numId w:val="25"/>
        </w:numPr>
        <w:spacing w:after="160" w:line="259" w:lineRule="auto"/>
        <w:jc w:val="left"/>
        <w:rPr>
          <w:rFonts w:ascii="EC Square Sans Pro" w:eastAsia="Calibri" w:hAnsi="EC Square Sans Pro" w:cs="Calibri"/>
          <w:color w:val="000000" w:themeColor="text1"/>
        </w:rPr>
      </w:pPr>
      <w:r w:rsidRPr="00353189">
        <w:rPr>
          <w:rFonts w:ascii="EC Square Sans Pro" w:eastAsia="Calibri" w:hAnsi="EC Square Sans Pro" w:cs="Calibri"/>
          <w:color w:val="000000" w:themeColor="text1"/>
        </w:rPr>
        <w:t xml:space="preserve">The </w:t>
      </w:r>
      <w:r w:rsidRPr="00353189">
        <w:rPr>
          <w:rFonts w:ascii="EC Square Sans Pro" w:eastAsia="Calibri" w:hAnsi="EC Square Sans Pro" w:cs="Calibri"/>
          <w:b/>
          <w:bCs/>
          <w:color w:val="000000" w:themeColor="text1"/>
        </w:rPr>
        <w:t>Data Lake,</w:t>
      </w:r>
      <w:r w:rsidRPr="00353189">
        <w:rPr>
          <w:rFonts w:ascii="EC Square Sans Pro" w:eastAsia="Calibri" w:hAnsi="EC Square Sans Pro" w:cs="Calibri"/>
          <w:color w:val="000000" w:themeColor="text1"/>
        </w:rPr>
        <w:t xml:space="preserve"> which is implemented by EUMETSAT, references and provides seamless access to </w:t>
      </w:r>
      <w:proofErr w:type="spellStart"/>
      <w:r w:rsidRPr="00353189">
        <w:rPr>
          <w:rFonts w:ascii="EC Square Sans Pro" w:eastAsia="Calibri" w:hAnsi="EC Square Sans Pro" w:cs="Calibri"/>
          <w:color w:val="000000" w:themeColor="text1"/>
        </w:rPr>
        <w:t>DestinE</w:t>
      </w:r>
      <w:proofErr w:type="spellEnd"/>
      <w:r w:rsidRPr="00353189">
        <w:rPr>
          <w:rFonts w:ascii="EC Square Sans Pro" w:eastAsia="Calibri" w:hAnsi="EC Square Sans Pro" w:cs="Calibri"/>
          <w:color w:val="000000" w:themeColor="text1"/>
        </w:rPr>
        <w:t xml:space="preserve"> Digital Twins data and a large number of external data spaces, as well as providing big data processing services. EUMETSAT will continue to develop the fitness-for-purpose of the </w:t>
      </w:r>
      <w:proofErr w:type="spellStart"/>
      <w:r w:rsidRPr="00353189">
        <w:rPr>
          <w:rFonts w:ascii="EC Square Sans Pro" w:eastAsia="Calibri" w:hAnsi="EC Square Sans Pro" w:cs="Calibri"/>
          <w:color w:val="000000" w:themeColor="text1"/>
        </w:rPr>
        <w:t>DestinE</w:t>
      </w:r>
      <w:proofErr w:type="spellEnd"/>
      <w:r w:rsidRPr="00353189">
        <w:rPr>
          <w:rFonts w:ascii="EC Square Sans Pro" w:eastAsia="Calibri" w:hAnsi="EC Square Sans Pro" w:cs="Calibri"/>
          <w:color w:val="000000" w:themeColor="text1"/>
        </w:rPr>
        <w:t xml:space="preserve"> data portfolio and improve performance of federated access.</w:t>
      </w:r>
    </w:p>
    <w:p w14:paraId="6BA5DEEF" w14:textId="77777777" w:rsidR="00AC0728" w:rsidRDefault="00AC0728" w:rsidP="00AC0728">
      <w:pPr>
        <w:pStyle w:val="ListParagraph"/>
        <w:spacing w:after="160" w:line="259" w:lineRule="auto"/>
        <w:jc w:val="left"/>
        <w:rPr>
          <w:rFonts w:ascii="EC Square Sans Pro" w:eastAsia="Calibri" w:hAnsi="EC Square Sans Pro" w:cs="Calibri"/>
          <w:color w:val="000000" w:themeColor="text1"/>
        </w:rPr>
      </w:pPr>
    </w:p>
    <w:p w14:paraId="5541ECB0" w14:textId="77777777" w:rsidR="00AC0728" w:rsidRPr="00353189" w:rsidRDefault="00AC0728" w:rsidP="00AC0728">
      <w:pPr>
        <w:pStyle w:val="ListParagraph"/>
        <w:spacing w:after="160" w:line="259" w:lineRule="auto"/>
        <w:jc w:val="left"/>
        <w:rPr>
          <w:rFonts w:ascii="EC Square Sans Pro" w:eastAsia="Calibri" w:hAnsi="EC Square Sans Pro" w:cs="Calibri"/>
          <w:color w:val="000000" w:themeColor="text1"/>
        </w:rPr>
      </w:pPr>
    </w:p>
    <w:p w14:paraId="18D56F7F" w14:textId="77777777" w:rsidR="00DD016B" w:rsidRPr="00353189" w:rsidRDefault="00DD016B" w:rsidP="00DD016B">
      <w:pPr>
        <w:pStyle w:val="ListParagraph"/>
        <w:numPr>
          <w:ilvl w:val="0"/>
          <w:numId w:val="25"/>
        </w:numPr>
        <w:spacing w:after="160" w:line="259" w:lineRule="auto"/>
        <w:jc w:val="left"/>
        <w:rPr>
          <w:rFonts w:ascii="EC Square Sans Pro" w:eastAsia="Calibri" w:hAnsi="EC Square Sans Pro" w:cs="Calibri"/>
          <w:color w:val="000000" w:themeColor="text1"/>
        </w:rPr>
      </w:pPr>
      <w:r w:rsidRPr="00353189">
        <w:rPr>
          <w:rFonts w:ascii="EC Square Sans Pro" w:eastAsia="Calibri" w:hAnsi="EC Square Sans Pro" w:cs="Calibri"/>
          <w:color w:val="000000" w:themeColor="text1"/>
        </w:rPr>
        <w:lastRenderedPageBreak/>
        <w:t xml:space="preserve">The </w:t>
      </w:r>
      <w:r w:rsidRPr="00353189">
        <w:rPr>
          <w:rFonts w:ascii="EC Square Sans Pro" w:eastAsia="Calibri" w:hAnsi="EC Square Sans Pro" w:cs="Calibri"/>
          <w:b/>
          <w:bCs/>
          <w:color w:val="000000" w:themeColor="text1"/>
        </w:rPr>
        <w:t>Core Service Platform</w:t>
      </w:r>
      <w:r w:rsidRPr="00353189">
        <w:rPr>
          <w:rFonts w:ascii="EC Square Sans Pro" w:eastAsia="Calibri" w:hAnsi="EC Square Sans Pro" w:cs="Calibri"/>
          <w:color w:val="000000" w:themeColor="text1"/>
        </w:rPr>
        <w:t>, known as DESP, implemented by ESA for a large community, will evolve the DESP services, through a co-designed approach with users. This will include a growing portfolio of innovative advanced applications and user-provided services, contributing to a rich platform ecosystem that will unlock novel ways of exploitation and promote cooperation between communities.</w:t>
      </w:r>
    </w:p>
    <w:p w14:paraId="3BA24D3D" w14:textId="6363FC71" w:rsidR="00DD016B" w:rsidRPr="00353189" w:rsidRDefault="00DD016B" w:rsidP="00DD016B">
      <w:pPr>
        <w:rPr>
          <w:rFonts w:ascii="EC Square Sans Pro" w:eastAsia="Calibri" w:hAnsi="EC Square Sans Pro" w:cs="Calibri"/>
          <w:color w:val="000000" w:themeColor="text1"/>
          <w:sz w:val="28"/>
          <w:szCs w:val="28"/>
        </w:rPr>
      </w:pPr>
      <w:r w:rsidRPr="00353189">
        <w:rPr>
          <w:rFonts w:ascii="EC Square Sans Pro" w:eastAsia="Calibri" w:hAnsi="EC Square Sans Pro" w:cs="Calibri"/>
          <w:b/>
          <w:bCs/>
          <w:color w:val="000000" w:themeColor="text1"/>
          <w:sz w:val="32"/>
          <w:szCs w:val="32"/>
        </w:rPr>
        <w:t xml:space="preserve">Accelerating the use of machine learning and artificial intelligence </w:t>
      </w:r>
      <w:r w:rsidRPr="00353189">
        <w:rPr>
          <w:rFonts w:ascii="EC Square Sans Pro" w:eastAsia="Calibri" w:hAnsi="EC Square Sans Pro" w:cs="Calibri"/>
          <w:color w:val="000000" w:themeColor="text1"/>
          <w:sz w:val="28"/>
          <w:szCs w:val="28"/>
        </w:rPr>
        <w:t xml:space="preserve"> </w:t>
      </w:r>
    </w:p>
    <w:p w14:paraId="1C5C2C7F" w14:textId="77777777" w:rsidR="00A54075" w:rsidRDefault="00A54075" w:rsidP="00A54075">
      <w:pPr>
        <w:rPr>
          <w:rFonts w:ascii="EC Square Sans Pro" w:eastAsia="Calibri" w:hAnsi="EC Square Sans Pro" w:cs="Calibri"/>
          <w:color w:val="000000" w:themeColor="text1"/>
        </w:rPr>
      </w:pPr>
      <w:r w:rsidRPr="00A54075">
        <w:rPr>
          <w:rFonts w:ascii="EC Square Sans Pro" w:eastAsia="Calibri" w:hAnsi="EC Square Sans Pro" w:cs="Calibri"/>
          <w:color w:val="000000" w:themeColor="text1"/>
        </w:rPr>
        <w:t>Funding for the second phase of Destination Earth will also intensify the use of recent game changing</w:t>
      </w:r>
      <w:r>
        <w:rPr>
          <w:rFonts w:ascii="EC Square Sans Pro" w:eastAsia="Calibri" w:hAnsi="EC Square Sans Pro" w:cs="Calibri"/>
          <w:color w:val="000000" w:themeColor="text1"/>
        </w:rPr>
        <w:t xml:space="preserve"> </w:t>
      </w:r>
      <w:r w:rsidRPr="00A54075">
        <w:rPr>
          <w:rFonts w:ascii="EC Square Sans Pro" w:eastAsia="Calibri" w:hAnsi="EC Square Sans Pro" w:cs="Calibri"/>
          <w:color w:val="000000" w:themeColor="text1"/>
        </w:rPr>
        <w:t>breakthroughs in machine learning and artificial intelligence (ML/AI) across the initiative. In particular,</w:t>
      </w:r>
      <w:r>
        <w:rPr>
          <w:rFonts w:ascii="EC Square Sans Pro" w:eastAsia="Calibri" w:hAnsi="EC Square Sans Pro" w:cs="Calibri"/>
          <w:color w:val="000000" w:themeColor="text1"/>
        </w:rPr>
        <w:t xml:space="preserve"> </w:t>
      </w:r>
      <w:r w:rsidRPr="00A54075">
        <w:rPr>
          <w:rFonts w:ascii="EC Square Sans Pro" w:eastAsia="Calibri" w:hAnsi="EC Square Sans Pro" w:cs="Calibri"/>
          <w:color w:val="000000" w:themeColor="text1"/>
        </w:rPr>
        <w:t>ECMWF will lead developments towards a machine learning based earth-system model that will support</w:t>
      </w:r>
      <w:r>
        <w:rPr>
          <w:rFonts w:ascii="EC Square Sans Pro" w:eastAsia="Calibri" w:hAnsi="EC Square Sans Pro" w:cs="Calibri"/>
          <w:color w:val="000000" w:themeColor="text1"/>
        </w:rPr>
        <w:t xml:space="preserve"> </w:t>
      </w:r>
      <w:r w:rsidRPr="00A54075">
        <w:rPr>
          <w:rFonts w:ascii="EC Square Sans Pro" w:eastAsia="Calibri" w:hAnsi="EC Square Sans Pro" w:cs="Calibri"/>
          <w:color w:val="000000" w:themeColor="text1"/>
        </w:rPr>
        <w:t>quantifying uncertainties of the earth system digital twins and enhancing their interactivity capabilities.</w:t>
      </w:r>
      <w:r>
        <w:rPr>
          <w:rFonts w:ascii="EC Square Sans Pro" w:eastAsia="Calibri" w:hAnsi="EC Square Sans Pro" w:cs="Calibri"/>
          <w:color w:val="000000" w:themeColor="text1"/>
        </w:rPr>
        <w:t xml:space="preserve"> </w:t>
      </w:r>
      <w:r w:rsidRPr="00A54075">
        <w:rPr>
          <w:rFonts w:ascii="EC Square Sans Pro" w:eastAsia="Calibri" w:hAnsi="EC Square Sans Pro" w:cs="Calibri"/>
          <w:color w:val="000000" w:themeColor="text1"/>
        </w:rPr>
        <w:t>These developments will allow Destination Earth to become a unique provider on which European</w:t>
      </w:r>
      <w:r>
        <w:rPr>
          <w:rFonts w:ascii="EC Square Sans Pro" w:eastAsia="Calibri" w:hAnsi="EC Square Sans Pro" w:cs="Calibri"/>
          <w:color w:val="000000" w:themeColor="text1"/>
        </w:rPr>
        <w:t xml:space="preserve"> </w:t>
      </w:r>
      <w:r w:rsidRPr="00A54075">
        <w:rPr>
          <w:rFonts w:ascii="EC Square Sans Pro" w:eastAsia="Calibri" w:hAnsi="EC Square Sans Pro" w:cs="Calibri"/>
          <w:color w:val="000000" w:themeColor="text1"/>
        </w:rPr>
        <w:t>industry can test and build new AI-powered products and services. With European values and</w:t>
      </w:r>
      <w:r>
        <w:rPr>
          <w:rFonts w:ascii="EC Square Sans Pro" w:eastAsia="Calibri" w:hAnsi="EC Square Sans Pro" w:cs="Calibri"/>
          <w:color w:val="000000" w:themeColor="text1"/>
        </w:rPr>
        <w:t xml:space="preserve"> </w:t>
      </w:r>
      <w:r w:rsidRPr="00A54075">
        <w:rPr>
          <w:rFonts w:ascii="EC Square Sans Pro" w:eastAsia="Calibri" w:hAnsi="EC Square Sans Pro" w:cs="Calibri"/>
          <w:color w:val="000000" w:themeColor="text1"/>
        </w:rPr>
        <w:t>transparency at its heart it will be a powerful demonstrator on how responsible AI decision processes</w:t>
      </w:r>
      <w:r>
        <w:rPr>
          <w:rFonts w:ascii="EC Square Sans Pro" w:eastAsia="Calibri" w:hAnsi="EC Square Sans Pro" w:cs="Calibri"/>
          <w:color w:val="000000" w:themeColor="text1"/>
        </w:rPr>
        <w:t xml:space="preserve"> </w:t>
      </w:r>
      <w:r w:rsidRPr="00A54075">
        <w:rPr>
          <w:rFonts w:ascii="EC Square Sans Pro" w:eastAsia="Calibri" w:hAnsi="EC Square Sans Pro" w:cs="Calibri"/>
          <w:color w:val="000000" w:themeColor="text1"/>
        </w:rPr>
        <w:t>can be built.</w:t>
      </w:r>
    </w:p>
    <w:p w14:paraId="206440D8" w14:textId="7949B971" w:rsidR="00DD016B" w:rsidRPr="00353189" w:rsidRDefault="00DD016B" w:rsidP="00A54075">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-Ends</w:t>
      </w:r>
    </w:p>
    <w:p w14:paraId="6434158D" w14:textId="0CE625BD" w:rsidR="00DD016B" w:rsidRPr="00353189" w:rsidRDefault="00DD016B" w:rsidP="00DD016B">
      <w:pPr>
        <w:rPr>
          <w:rFonts w:ascii="EC Square Sans Pro" w:eastAsia="Calibri" w:hAnsi="EC Square Sans Pro" w:cs="Calibri"/>
          <w:color w:val="000000" w:themeColor="text1"/>
          <w:sz w:val="32"/>
          <w:szCs w:val="32"/>
        </w:rPr>
      </w:pPr>
      <w:r w:rsidRPr="00353189">
        <w:rPr>
          <w:rFonts w:ascii="EC Square Sans Pro" w:eastAsia="Calibri" w:hAnsi="EC Square Sans Pro" w:cs="Calibri"/>
          <w:b/>
          <w:bCs/>
          <w:color w:val="000000" w:themeColor="text1"/>
          <w:sz w:val="32"/>
          <w:szCs w:val="32"/>
        </w:rPr>
        <w:t>Notes to editors</w:t>
      </w:r>
    </w:p>
    <w:p w14:paraId="08C5A87C" w14:textId="7558DE85"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 xml:space="preserve">Destination Earth is a flagship initiative of the European Union to develop a digital replica or twin of Earth. Launching at the end of 2021, several stages of development are foreseen. The initiative plays a crucial role in meeting the twin green and digital transition. </w:t>
      </w:r>
    </w:p>
    <w:p w14:paraId="43B032CC" w14:textId="4D93DCEE" w:rsidR="00A30A98" w:rsidRPr="00353189" w:rsidRDefault="00DD016B" w:rsidP="00DD016B">
      <w:pPr>
        <w:rPr>
          <w:rFonts w:ascii="EC Square Sans Pro" w:eastAsia="Calibri" w:hAnsi="EC Square Sans Pro" w:cs="Calibri"/>
          <w:color w:val="000000" w:themeColor="text1"/>
          <w:sz w:val="24"/>
          <w:szCs w:val="24"/>
        </w:rPr>
      </w:pPr>
      <w:r w:rsidRPr="00353189">
        <w:rPr>
          <w:rFonts w:ascii="EC Square Sans Pro" w:eastAsia="Calibri" w:hAnsi="EC Square Sans Pro" w:cs="Calibri"/>
          <w:b/>
          <w:bCs/>
          <w:i/>
          <w:iCs/>
          <w:color w:val="000000" w:themeColor="text1"/>
          <w:sz w:val="24"/>
          <w:szCs w:val="24"/>
        </w:rPr>
        <w:t xml:space="preserve">Roles within the </w:t>
      </w:r>
      <w:proofErr w:type="spellStart"/>
      <w:r w:rsidRPr="00353189">
        <w:rPr>
          <w:rFonts w:ascii="EC Square Sans Pro" w:eastAsia="Calibri" w:hAnsi="EC Square Sans Pro" w:cs="Calibri"/>
          <w:b/>
          <w:bCs/>
          <w:i/>
          <w:iCs/>
          <w:color w:val="000000" w:themeColor="text1"/>
          <w:sz w:val="24"/>
          <w:szCs w:val="24"/>
        </w:rPr>
        <w:t>DestinE</w:t>
      </w:r>
      <w:proofErr w:type="spellEnd"/>
      <w:r w:rsidRPr="00353189">
        <w:rPr>
          <w:rFonts w:ascii="EC Square Sans Pro" w:eastAsia="Calibri" w:hAnsi="EC Square Sans Pro" w:cs="Calibri"/>
          <w:b/>
          <w:bCs/>
          <w:i/>
          <w:iCs/>
          <w:color w:val="000000" w:themeColor="text1"/>
          <w:sz w:val="24"/>
          <w:szCs w:val="24"/>
        </w:rPr>
        <w:t xml:space="preserve"> initiative: </w:t>
      </w:r>
    </w:p>
    <w:p w14:paraId="210022B5"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Directorate-General Communications Networks, Content and Technology (DG CNECT) responsible for the overall leadership and coordination of the Destination Earth Initiative on behalf of the European Union.</w:t>
      </w:r>
    </w:p>
    <w:p w14:paraId="1D4045A9"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 xml:space="preserve">European Centre for Medium-Range Weather Forecasts (ECMWF) oversees the development of the first two high-priority digital twins, Climate Change Adaptation and Weather-induced Extremes, and the development of the Digital Twin Engine, which brings together the software infrastructure needed for extreme-scale simulations, data fusion, data handling and machine learning. </w:t>
      </w:r>
    </w:p>
    <w:p w14:paraId="45BD17F2"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 xml:space="preserve">European Space Agency (ESA) oversees the development of the Core Service Platform, the user-friendly interface to access the data generated by the digital twins. This fully scalable platform creates the conditions for an ecosystem in which users can personalise the environment and collaborate, by making their own data available and developing advanced applications or services that meet their own challenges. </w:t>
      </w:r>
    </w:p>
    <w:p w14:paraId="024C778F"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i/>
          <w:iCs/>
          <w:color w:val="000000" w:themeColor="text1"/>
        </w:rPr>
        <w:t xml:space="preserve">European Organisation for the Exploitation of Meteorological Satellites (EUMETSAT) oversees the development of the Data Lake, which ensures data access harmonisation of the Digital Twin data and federated data from providers such as ECMWF, ESA and EUMETSAT.  </w:t>
      </w:r>
    </w:p>
    <w:p w14:paraId="4A9357DB" w14:textId="77777777" w:rsidR="00DD016B" w:rsidRPr="00353189" w:rsidRDefault="00DD016B" w:rsidP="00DD016B">
      <w:pPr>
        <w:rPr>
          <w:rFonts w:ascii="EC Square Sans Pro" w:eastAsia="Calibri" w:hAnsi="EC Square Sans Pro" w:cs="Calibri"/>
          <w:i/>
          <w:iCs/>
          <w:color w:val="000000" w:themeColor="text1"/>
        </w:rPr>
      </w:pPr>
      <w:proofErr w:type="spellStart"/>
      <w:r w:rsidRPr="00353189">
        <w:rPr>
          <w:rFonts w:ascii="EC Square Sans Pro" w:eastAsia="Calibri" w:hAnsi="EC Square Sans Pro" w:cs="Calibri"/>
          <w:i/>
          <w:iCs/>
          <w:color w:val="000000" w:themeColor="text1"/>
        </w:rPr>
        <w:t>EuroHPC</w:t>
      </w:r>
      <w:proofErr w:type="spellEnd"/>
      <w:r w:rsidRPr="00353189">
        <w:rPr>
          <w:rFonts w:ascii="EC Square Sans Pro" w:eastAsia="Calibri" w:hAnsi="EC Square Sans Pro" w:cs="Calibri"/>
          <w:i/>
          <w:iCs/>
          <w:color w:val="000000" w:themeColor="text1"/>
        </w:rPr>
        <w:t xml:space="preserve"> JU is a joint initiative between the EU, European countries and private partners to develop a World Class Supercomputing Ecosystem in Europe. </w:t>
      </w:r>
    </w:p>
    <w:p w14:paraId="0F0DAED8" w14:textId="589BB1BB" w:rsidR="00DD016B" w:rsidRDefault="00DD016B" w:rsidP="00DD016B">
      <w:pPr>
        <w:rPr>
          <w:rFonts w:ascii="EC Square Sans Pro" w:eastAsia="Calibri" w:hAnsi="EC Square Sans Pro" w:cs="Calibri"/>
          <w:b/>
          <w:bCs/>
        </w:rPr>
      </w:pPr>
      <w:r w:rsidRPr="00353189">
        <w:rPr>
          <w:rFonts w:ascii="EC Square Sans Pro" w:eastAsia="Calibri" w:hAnsi="EC Square Sans Pro" w:cs="Calibri"/>
          <w:b/>
          <w:bCs/>
          <w:color w:val="000000" w:themeColor="text1"/>
        </w:rPr>
        <w:t xml:space="preserve">Press contact details: </w:t>
      </w:r>
      <w:r w:rsidR="00353189">
        <w:rPr>
          <w:rFonts w:ascii="EC Square Sans Pro" w:eastAsia="Calibri" w:hAnsi="EC Square Sans Pro" w:cs="Calibri"/>
          <w:b/>
          <w:bCs/>
        </w:rPr>
        <w:t xml:space="preserve">Rob Carrillo, </w:t>
      </w:r>
      <w:hyperlink r:id="rId11" w:history="1">
        <w:r w:rsidR="00AC0728" w:rsidRPr="00B3188B">
          <w:rPr>
            <w:rStyle w:val="Hyperlink"/>
            <w:rFonts w:ascii="EC Square Sans Pro" w:eastAsia="Calibri" w:hAnsi="EC Square Sans Pro" w:cs="Calibri"/>
            <w:b/>
            <w:bCs/>
          </w:rPr>
          <w:t>r.carrillo@trust-itservices.com</w:t>
        </w:r>
      </w:hyperlink>
    </w:p>
    <w:p w14:paraId="7C7F7236" w14:textId="77777777" w:rsidR="00AC0728" w:rsidRPr="00353189" w:rsidRDefault="00AC0728" w:rsidP="00DD016B">
      <w:pPr>
        <w:rPr>
          <w:rFonts w:ascii="EC Square Sans Pro" w:eastAsia="Calibri" w:hAnsi="EC Square Sans Pro" w:cs="Calibri"/>
          <w:color w:val="000000" w:themeColor="text1"/>
        </w:rPr>
      </w:pPr>
    </w:p>
    <w:p w14:paraId="1AF9440D" w14:textId="77777777" w:rsidR="00DD016B" w:rsidRPr="00353189" w:rsidRDefault="00DD016B" w:rsidP="00DD016B">
      <w:pPr>
        <w:rPr>
          <w:rFonts w:ascii="EC Square Sans Pro" w:eastAsia="Calibri" w:hAnsi="EC Square Sans Pro" w:cs="Calibri"/>
          <w:color w:val="000000" w:themeColor="text1"/>
        </w:rPr>
      </w:pPr>
      <w:r w:rsidRPr="00353189">
        <w:rPr>
          <w:rFonts w:ascii="EC Square Sans Pro" w:eastAsia="Calibri" w:hAnsi="EC Square Sans Pro" w:cs="Calibri"/>
          <w:b/>
          <w:bCs/>
          <w:color w:val="000000" w:themeColor="text1"/>
        </w:rPr>
        <w:lastRenderedPageBreak/>
        <w:t xml:space="preserve">Additional information </w:t>
      </w:r>
    </w:p>
    <w:p w14:paraId="67B4674F" w14:textId="77777777" w:rsidR="00DD016B" w:rsidRPr="00353189" w:rsidRDefault="00000000" w:rsidP="00DD016B">
      <w:pPr>
        <w:pStyle w:val="ListParagraph"/>
        <w:numPr>
          <w:ilvl w:val="0"/>
          <w:numId w:val="26"/>
        </w:numPr>
        <w:spacing w:after="160" w:line="259" w:lineRule="auto"/>
        <w:jc w:val="left"/>
        <w:rPr>
          <w:rFonts w:ascii="EC Square Sans Pro" w:eastAsia="Calibri" w:hAnsi="EC Square Sans Pro" w:cs="Calibri"/>
          <w:color w:val="000000" w:themeColor="text1"/>
        </w:rPr>
      </w:pPr>
      <w:hyperlink r:id="rId12">
        <w:r w:rsidR="00DD016B" w:rsidRPr="00353189">
          <w:rPr>
            <w:rStyle w:val="Hyperlink"/>
            <w:rFonts w:ascii="EC Square Sans Pro" w:eastAsia="Calibri" w:hAnsi="EC Square Sans Pro" w:cs="Calibri"/>
          </w:rPr>
          <w:t>DG CNECT</w:t>
        </w:r>
      </w:hyperlink>
    </w:p>
    <w:p w14:paraId="0EEC3192" w14:textId="77777777" w:rsidR="00DD016B" w:rsidRPr="00353189" w:rsidRDefault="00000000" w:rsidP="00DD016B">
      <w:pPr>
        <w:pStyle w:val="ListParagraph"/>
        <w:numPr>
          <w:ilvl w:val="0"/>
          <w:numId w:val="26"/>
        </w:numPr>
        <w:spacing w:after="160" w:line="259" w:lineRule="auto"/>
        <w:jc w:val="left"/>
        <w:rPr>
          <w:rFonts w:ascii="EC Square Sans Pro" w:eastAsia="Calibri" w:hAnsi="EC Square Sans Pro" w:cs="Calibri"/>
          <w:color w:val="000000" w:themeColor="text1"/>
        </w:rPr>
      </w:pPr>
      <w:hyperlink r:id="rId13">
        <w:r w:rsidR="00DD016B" w:rsidRPr="00353189">
          <w:rPr>
            <w:rStyle w:val="Hyperlink"/>
            <w:rFonts w:ascii="EC Square Sans Pro" w:eastAsia="Calibri" w:hAnsi="EC Square Sans Pro" w:cs="Calibri"/>
          </w:rPr>
          <w:t>Joint web presence</w:t>
        </w:r>
      </w:hyperlink>
    </w:p>
    <w:p w14:paraId="163668C9" w14:textId="77777777" w:rsidR="00DD016B" w:rsidRPr="00353189" w:rsidRDefault="00000000" w:rsidP="00DD016B">
      <w:pPr>
        <w:pStyle w:val="ListParagraph"/>
        <w:numPr>
          <w:ilvl w:val="0"/>
          <w:numId w:val="26"/>
        </w:numPr>
        <w:spacing w:after="160" w:line="259" w:lineRule="auto"/>
        <w:jc w:val="left"/>
        <w:rPr>
          <w:rFonts w:ascii="EC Square Sans Pro" w:eastAsia="Calibri" w:hAnsi="EC Square Sans Pro" w:cs="Calibri"/>
          <w:color w:val="000000" w:themeColor="text1"/>
        </w:rPr>
      </w:pPr>
      <w:hyperlink r:id="rId14">
        <w:r w:rsidR="00DD016B" w:rsidRPr="00353189">
          <w:rPr>
            <w:rStyle w:val="Hyperlink"/>
            <w:rFonts w:ascii="EC Square Sans Pro" w:eastAsia="Calibri" w:hAnsi="EC Square Sans Pro" w:cs="Calibri"/>
          </w:rPr>
          <w:t>ECMWF</w:t>
        </w:r>
      </w:hyperlink>
    </w:p>
    <w:p w14:paraId="405EAA15" w14:textId="2D6E3DE1" w:rsidR="00DD016B" w:rsidRPr="00353189" w:rsidRDefault="00000000" w:rsidP="00DD016B">
      <w:pPr>
        <w:pStyle w:val="ListParagraph"/>
        <w:numPr>
          <w:ilvl w:val="0"/>
          <w:numId w:val="26"/>
        </w:numPr>
        <w:spacing w:after="160" w:line="259" w:lineRule="auto"/>
        <w:jc w:val="left"/>
        <w:rPr>
          <w:rFonts w:ascii="EC Square Sans Pro" w:eastAsia="Calibri" w:hAnsi="EC Square Sans Pro" w:cs="Calibri"/>
          <w:color w:val="000000" w:themeColor="text1"/>
        </w:rPr>
      </w:pPr>
      <w:hyperlink r:id="rId15">
        <w:r w:rsidR="00DD016B" w:rsidRPr="00353189">
          <w:rPr>
            <w:rStyle w:val="Hyperlink"/>
            <w:rFonts w:ascii="EC Square Sans Pro" w:eastAsia="Calibri" w:hAnsi="EC Square Sans Pro" w:cs="Calibri"/>
          </w:rPr>
          <w:t>ESA</w:t>
        </w:r>
      </w:hyperlink>
    </w:p>
    <w:p w14:paraId="0AAFB0EA" w14:textId="421454E5" w:rsidR="00DD016B" w:rsidRPr="00353189" w:rsidRDefault="00000000" w:rsidP="00DD016B">
      <w:pPr>
        <w:pStyle w:val="ListParagraph"/>
        <w:numPr>
          <w:ilvl w:val="0"/>
          <w:numId w:val="26"/>
        </w:numPr>
        <w:spacing w:after="160" w:line="259" w:lineRule="auto"/>
        <w:jc w:val="left"/>
        <w:rPr>
          <w:rFonts w:ascii="EC Square Sans Pro" w:eastAsia="Calibri" w:hAnsi="EC Square Sans Pro" w:cs="Calibri"/>
          <w:color w:val="000000" w:themeColor="text1"/>
        </w:rPr>
      </w:pPr>
      <w:hyperlink r:id="rId16">
        <w:r w:rsidR="00DD016B" w:rsidRPr="00353189">
          <w:rPr>
            <w:rStyle w:val="Hyperlink"/>
            <w:rFonts w:ascii="EC Square Sans Pro" w:eastAsia="Calibri" w:hAnsi="EC Square Sans Pro" w:cs="Calibri"/>
          </w:rPr>
          <w:t>EUMETSAT</w:t>
        </w:r>
      </w:hyperlink>
    </w:p>
    <w:p w14:paraId="72CFCBD2" w14:textId="77777777" w:rsidR="00A30A98" w:rsidRPr="00353189" w:rsidRDefault="00A30A98" w:rsidP="00A30A98">
      <w:pPr>
        <w:rPr>
          <w:rFonts w:ascii="EC Square Sans Pro" w:hAnsi="EC Square Sans Pro"/>
        </w:rPr>
      </w:pPr>
    </w:p>
    <w:p w14:paraId="28CB1E3E" w14:textId="77777777" w:rsidR="00A30A98" w:rsidRPr="00353189" w:rsidRDefault="00A30A98" w:rsidP="00A30A98">
      <w:pPr>
        <w:rPr>
          <w:rFonts w:ascii="EC Square Sans Pro" w:hAnsi="EC Square Sans Pro"/>
        </w:rPr>
      </w:pPr>
    </w:p>
    <w:p w14:paraId="1353FA2E" w14:textId="77777777" w:rsidR="004338C6" w:rsidRPr="00353189" w:rsidRDefault="004338C6" w:rsidP="00A30A98">
      <w:pPr>
        <w:rPr>
          <w:rFonts w:ascii="EC Square Sans Pro" w:hAnsi="EC Square Sans Pro"/>
        </w:rPr>
      </w:pPr>
    </w:p>
    <w:sectPr w:rsidR="004338C6" w:rsidRPr="00353189" w:rsidSect="003E16AA">
      <w:headerReference w:type="even" r:id="rId17"/>
      <w:headerReference w:type="default" r:id="rId18"/>
      <w:footerReference w:type="default" r:id="rId19"/>
      <w:headerReference w:type="first" r:id="rId20"/>
      <w:footerReference w:type="first" r:id="rId21"/>
      <w:pgSz w:w="11906" w:h="16838"/>
      <w:pgMar w:top="1775" w:right="1440" w:bottom="1021" w:left="1440" w:header="38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0040" w14:textId="77777777" w:rsidR="00DB264A" w:rsidRDefault="00DB264A" w:rsidP="00835E24">
      <w:pPr>
        <w:spacing w:after="0" w:line="240" w:lineRule="auto"/>
      </w:pPr>
      <w:r>
        <w:separator/>
      </w:r>
    </w:p>
  </w:endnote>
  <w:endnote w:type="continuationSeparator" w:id="0">
    <w:p w14:paraId="53F65201" w14:textId="77777777" w:rsidR="00DB264A" w:rsidRDefault="00DB264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Extra Black">
    <w:panose1 w:val="020B05060400000200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C Square Sans Pro">
    <w:panose1 w:val="020B05060400000200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4DF8" w14:textId="1E7D3BC9" w:rsidR="002D0373" w:rsidRDefault="00E412A6" w:rsidP="00B47BF8">
    <w:pPr>
      <w:pStyle w:val="Footer"/>
      <w:jc w:val="center"/>
    </w:pPr>
    <w:r>
      <w:rPr>
        <w:noProof/>
      </w:rPr>
      <w:drawing>
        <wp:anchor distT="0" distB="0" distL="114300" distR="114300" simplePos="0" relativeHeight="251663360" behindDoc="1" locked="0" layoutInCell="1" allowOverlap="1" wp14:anchorId="1752D25C" wp14:editId="4B8C1C82">
          <wp:simplePos x="0" y="0"/>
          <wp:positionH relativeFrom="column">
            <wp:posOffset>-904875</wp:posOffset>
          </wp:positionH>
          <wp:positionV relativeFrom="paragraph">
            <wp:posOffset>-605790</wp:posOffset>
          </wp:positionV>
          <wp:extent cx="7562850" cy="1083945"/>
          <wp:effectExtent l="0" t="0" r="0" b="1905"/>
          <wp:wrapNone/>
          <wp:docPr id="2006552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01198E" w14:textId="77777777" w:rsidR="002D0373" w:rsidRPr="003E16AA" w:rsidRDefault="002D0373" w:rsidP="003E16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A5FA" w14:textId="77777777" w:rsidR="00247395" w:rsidRPr="00B47BF8" w:rsidRDefault="00B47BF8" w:rsidP="00B47BF8">
    <w:pPr>
      <w:pStyle w:val="Footer"/>
      <w:jc w:val="center"/>
    </w:pPr>
    <w:r>
      <w:rPr>
        <w:noProof/>
      </w:rPr>
      <w:drawing>
        <wp:inline distT="0" distB="0" distL="0" distR="0" wp14:anchorId="524A8580" wp14:editId="0FF0560C">
          <wp:extent cx="1499606" cy="304800"/>
          <wp:effectExtent l="0" t="0" r="5715" b="0"/>
          <wp:docPr id="1400076976" name="Picture 140007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21.png"/>
                  <pic:cNvPicPr/>
                </pic:nvPicPr>
                <pic:blipFill rotWithShape="1">
                  <a:blip r:embed="rId1"/>
                  <a:srcRect l="28717" t="-1" r="40850" b="-4348"/>
                  <a:stretch/>
                </pic:blipFill>
                <pic:spPr bwMode="auto">
                  <a:xfrm>
                    <a:off x="0" y="0"/>
                    <a:ext cx="1499606" cy="3048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221B5F9" wp14:editId="324EB9FF">
          <wp:extent cx="542925" cy="285750"/>
          <wp:effectExtent l="0" t="0" r="0" b="0"/>
          <wp:docPr id="1260035710" name="Picture 126003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21.png"/>
                  <pic:cNvPicPr/>
                </pic:nvPicPr>
                <pic:blipFill rotWithShape="1">
                  <a:blip r:embed="rId1"/>
                  <a:srcRect l="72099" t="3914" r="16883" b="-1741"/>
                  <a:stretch/>
                </pic:blipFill>
                <pic:spPr bwMode="auto">
                  <a:xfrm>
                    <a:off x="0" y="0"/>
                    <a:ext cx="542925" cy="2857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24E4" w14:textId="77777777" w:rsidR="00DB264A" w:rsidRDefault="00DB264A" w:rsidP="00835E24">
      <w:pPr>
        <w:spacing w:after="0" w:line="240" w:lineRule="auto"/>
      </w:pPr>
      <w:r>
        <w:separator/>
      </w:r>
    </w:p>
  </w:footnote>
  <w:footnote w:type="continuationSeparator" w:id="0">
    <w:p w14:paraId="0BB8C631" w14:textId="77777777" w:rsidR="00DB264A" w:rsidRDefault="00DB264A"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CCA3"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BF8">
      <w:rPr>
        <w:rStyle w:val="PageNumber"/>
        <w:noProof/>
      </w:rPr>
      <w:t>1</w:t>
    </w:r>
    <w:r>
      <w:rPr>
        <w:rStyle w:val="PageNumber"/>
      </w:rPr>
      <w:fldChar w:fldCharType="end"/>
    </w:r>
  </w:p>
  <w:p w14:paraId="55836573" w14:textId="77777777" w:rsidR="007A21E4" w:rsidRDefault="007A21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E55D" w14:textId="77777777" w:rsidR="007A21E4" w:rsidRDefault="007A21E4" w:rsidP="00CD5AFC">
    <w:pPr>
      <w:pStyle w:val="Header"/>
      <w:framePr w:wrap="none" w:vAnchor="text" w:hAnchor="margin" w:xAlign="right" w:y="1"/>
      <w:rPr>
        <w:rStyle w:val="PageNumber"/>
      </w:rPr>
    </w:pPr>
  </w:p>
  <w:p w14:paraId="5D35215C" w14:textId="33A8F622" w:rsidR="002D0373" w:rsidRDefault="009307B7" w:rsidP="003E16AA">
    <w:pPr>
      <w:pStyle w:val="Header"/>
      <w:ind w:firstLine="4111"/>
      <w:jc w:val="center"/>
    </w:pPr>
    <w:r>
      <w:rPr>
        <w:noProof/>
      </w:rPr>
      <w:drawing>
        <wp:anchor distT="0" distB="0" distL="114300" distR="114300" simplePos="0" relativeHeight="251662336" behindDoc="0" locked="0" layoutInCell="1" allowOverlap="1" wp14:anchorId="06B2BB5D" wp14:editId="22241A1D">
          <wp:simplePos x="0" y="0"/>
          <wp:positionH relativeFrom="column">
            <wp:posOffset>-409575</wp:posOffset>
          </wp:positionH>
          <wp:positionV relativeFrom="paragraph">
            <wp:posOffset>-302260</wp:posOffset>
          </wp:positionV>
          <wp:extent cx="6248400" cy="957580"/>
          <wp:effectExtent l="0" t="0" r="0" b="0"/>
          <wp:wrapThrough wrapText="bothSides">
            <wp:wrapPolygon edited="0">
              <wp:start x="0" y="0"/>
              <wp:lineTo x="0" y="21056"/>
              <wp:lineTo x="21534" y="21056"/>
              <wp:lineTo x="21534" y="0"/>
              <wp:lineTo x="0" y="0"/>
            </wp:wrapPolygon>
          </wp:wrapThrough>
          <wp:docPr id="156800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9575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79A1" w14:textId="77777777" w:rsidR="007C483B" w:rsidRDefault="00CB6CA0" w:rsidP="00B47BF8">
    <w:pPr>
      <w:pStyle w:val="Header"/>
      <w:jc w:val="center"/>
    </w:pPr>
    <w:r>
      <w:rPr>
        <w:noProof/>
      </w:rPr>
      <w:drawing>
        <wp:inline distT="0" distB="0" distL="0" distR="0" wp14:anchorId="17993EF8" wp14:editId="6D11788C">
          <wp:extent cx="4572000" cy="533400"/>
          <wp:effectExtent l="0" t="0" r="0" b="0"/>
          <wp:docPr id="848326531" name="Picture 848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 15.png"/>
                  <pic:cNvPicPr/>
                </pic:nvPicPr>
                <pic:blipFill>
                  <a:blip r:embed="rId1"/>
                  <a:stretch>
                    <a:fillRect/>
                  </a:stretch>
                </pic:blipFill>
                <pic:spPr>
                  <a:xfrm>
                    <a:off x="0" y="0"/>
                    <a:ext cx="4572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5pt;height:23.5pt" o:bullet="t">
        <v:imagedata r:id="rId1" o:title="bullet"/>
      </v:shape>
    </w:pict>
  </w:numPicBullet>
  <w:abstractNum w:abstractNumId="0" w15:restartNumberingAfterBreak="0">
    <w:nsid w:val="03742169"/>
    <w:multiLevelType w:val="hybridMultilevel"/>
    <w:tmpl w:val="A008DC24"/>
    <w:lvl w:ilvl="0" w:tplc="ED22C796">
      <w:start w:val="1"/>
      <w:numFmt w:val="bullet"/>
      <w:lvlText w:val=""/>
      <w:lvlJc w:val="left"/>
      <w:pPr>
        <w:ind w:left="720" w:hanging="360"/>
      </w:pPr>
      <w:rPr>
        <w:rFonts w:ascii="Symbol" w:hAnsi="Symbol" w:hint="default"/>
      </w:rPr>
    </w:lvl>
    <w:lvl w:ilvl="1" w:tplc="4EF09F5A">
      <w:start w:val="1"/>
      <w:numFmt w:val="bullet"/>
      <w:lvlText w:val="o"/>
      <w:lvlJc w:val="left"/>
      <w:pPr>
        <w:ind w:left="1440" w:hanging="360"/>
      </w:pPr>
      <w:rPr>
        <w:rFonts w:ascii="Courier New" w:hAnsi="Courier New" w:hint="default"/>
      </w:rPr>
    </w:lvl>
    <w:lvl w:ilvl="2" w:tplc="EDBCDC68">
      <w:start w:val="1"/>
      <w:numFmt w:val="bullet"/>
      <w:lvlText w:val=""/>
      <w:lvlJc w:val="left"/>
      <w:pPr>
        <w:ind w:left="2160" w:hanging="360"/>
      </w:pPr>
      <w:rPr>
        <w:rFonts w:ascii="Wingdings" w:hAnsi="Wingdings" w:hint="default"/>
      </w:rPr>
    </w:lvl>
    <w:lvl w:ilvl="3" w:tplc="13FACC18">
      <w:start w:val="1"/>
      <w:numFmt w:val="bullet"/>
      <w:lvlText w:val=""/>
      <w:lvlJc w:val="left"/>
      <w:pPr>
        <w:ind w:left="2880" w:hanging="360"/>
      </w:pPr>
      <w:rPr>
        <w:rFonts w:ascii="Symbol" w:hAnsi="Symbol" w:hint="default"/>
      </w:rPr>
    </w:lvl>
    <w:lvl w:ilvl="4" w:tplc="4FD4F5C8">
      <w:start w:val="1"/>
      <w:numFmt w:val="bullet"/>
      <w:lvlText w:val="o"/>
      <w:lvlJc w:val="left"/>
      <w:pPr>
        <w:ind w:left="3600" w:hanging="360"/>
      </w:pPr>
      <w:rPr>
        <w:rFonts w:ascii="Courier New" w:hAnsi="Courier New" w:hint="default"/>
      </w:rPr>
    </w:lvl>
    <w:lvl w:ilvl="5" w:tplc="B4A492D4">
      <w:start w:val="1"/>
      <w:numFmt w:val="bullet"/>
      <w:lvlText w:val=""/>
      <w:lvlJc w:val="left"/>
      <w:pPr>
        <w:ind w:left="4320" w:hanging="360"/>
      </w:pPr>
      <w:rPr>
        <w:rFonts w:ascii="Wingdings" w:hAnsi="Wingdings" w:hint="default"/>
      </w:rPr>
    </w:lvl>
    <w:lvl w:ilvl="6" w:tplc="3F46D736">
      <w:start w:val="1"/>
      <w:numFmt w:val="bullet"/>
      <w:lvlText w:val=""/>
      <w:lvlJc w:val="left"/>
      <w:pPr>
        <w:ind w:left="5040" w:hanging="360"/>
      </w:pPr>
      <w:rPr>
        <w:rFonts w:ascii="Symbol" w:hAnsi="Symbol" w:hint="default"/>
      </w:rPr>
    </w:lvl>
    <w:lvl w:ilvl="7" w:tplc="D9C4CE60">
      <w:start w:val="1"/>
      <w:numFmt w:val="bullet"/>
      <w:lvlText w:val="o"/>
      <w:lvlJc w:val="left"/>
      <w:pPr>
        <w:ind w:left="5760" w:hanging="360"/>
      </w:pPr>
      <w:rPr>
        <w:rFonts w:ascii="Courier New" w:hAnsi="Courier New" w:hint="default"/>
      </w:rPr>
    </w:lvl>
    <w:lvl w:ilvl="8" w:tplc="E886E788">
      <w:start w:val="1"/>
      <w:numFmt w:val="bullet"/>
      <w:lvlText w:val=""/>
      <w:lvlJc w:val="left"/>
      <w:pPr>
        <w:ind w:left="6480" w:hanging="360"/>
      </w:pPr>
      <w:rPr>
        <w:rFonts w:ascii="Wingdings" w:hAnsi="Wingdings" w:hint="default"/>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F5B93"/>
    <w:multiLevelType w:val="multilevel"/>
    <w:tmpl w:val="981CE06E"/>
    <w:styleLink w:val="Elencocorren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8378D1"/>
    <w:multiLevelType w:val="multilevel"/>
    <w:tmpl w:val="DD8A7B5E"/>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61913"/>
    <w:multiLevelType w:val="hybridMultilevel"/>
    <w:tmpl w:val="6F740CCC"/>
    <w:lvl w:ilvl="0" w:tplc="CE96CBE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4214C2"/>
    <w:multiLevelType w:val="multilevel"/>
    <w:tmpl w:val="6F740CCC"/>
    <w:styleLink w:val="Elencocorrente2"/>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D416A"/>
    <w:multiLevelType w:val="hybridMultilevel"/>
    <w:tmpl w:val="23A4CA2C"/>
    <w:lvl w:ilvl="0" w:tplc="24AC35B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89A0A"/>
    <w:multiLevelType w:val="hybridMultilevel"/>
    <w:tmpl w:val="7430E700"/>
    <w:lvl w:ilvl="0" w:tplc="7DACA334">
      <w:start w:val="1"/>
      <w:numFmt w:val="bullet"/>
      <w:lvlText w:val=""/>
      <w:lvlJc w:val="left"/>
      <w:pPr>
        <w:ind w:left="720" w:hanging="360"/>
      </w:pPr>
      <w:rPr>
        <w:rFonts w:ascii="Symbol" w:hAnsi="Symbol" w:hint="default"/>
      </w:rPr>
    </w:lvl>
    <w:lvl w:ilvl="1" w:tplc="874030F2">
      <w:start w:val="1"/>
      <w:numFmt w:val="bullet"/>
      <w:lvlText w:val="o"/>
      <w:lvlJc w:val="left"/>
      <w:pPr>
        <w:ind w:left="1440" w:hanging="360"/>
      </w:pPr>
      <w:rPr>
        <w:rFonts w:ascii="Courier New" w:hAnsi="Courier New" w:hint="default"/>
      </w:rPr>
    </w:lvl>
    <w:lvl w:ilvl="2" w:tplc="FEE8A866">
      <w:start w:val="1"/>
      <w:numFmt w:val="bullet"/>
      <w:lvlText w:val=""/>
      <w:lvlJc w:val="left"/>
      <w:pPr>
        <w:ind w:left="2160" w:hanging="360"/>
      </w:pPr>
      <w:rPr>
        <w:rFonts w:ascii="Wingdings" w:hAnsi="Wingdings" w:hint="default"/>
      </w:rPr>
    </w:lvl>
    <w:lvl w:ilvl="3" w:tplc="00DC658A">
      <w:start w:val="1"/>
      <w:numFmt w:val="bullet"/>
      <w:lvlText w:val=""/>
      <w:lvlJc w:val="left"/>
      <w:pPr>
        <w:ind w:left="2880" w:hanging="360"/>
      </w:pPr>
      <w:rPr>
        <w:rFonts w:ascii="Symbol" w:hAnsi="Symbol" w:hint="default"/>
      </w:rPr>
    </w:lvl>
    <w:lvl w:ilvl="4" w:tplc="E676F848">
      <w:start w:val="1"/>
      <w:numFmt w:val="bullet"/>
      <w:lvlText w:val="o"/>
      <w:lvlJc w:val="left"/>
      <w:pPr>
        <w:ind w:left="3600" w:hanging="360"/>
      </w:pPr>
      <w:rPr>
        <w:rFonts w:ascii="Courier New" w:hAnsi="Courier New" w:hint="default"/>
      </w:rPr>
    </w:lvl>
    <w:lvl w:ilvl="5" w:tplc="8A38EAAE">
      <w:start w:val="1"/>
      <w:numFmt w:val="bullet"/>
      <w:lvlText w:val=""/>
      <w:lvlJc w:val="left"/>
      <w:pPr>
        <w:ind w:left="4320" w:hanging="360"/>
      </w:pPr>
      <w:rPr>
        <w:rFonts w:ascii="Wingdings" w:hAnsi="Wingdings" w:hint="default"/>
      </w:rPr>
    </w:lvl>
    <w:lvl w:ilvl="6" w:tplc="CFFA27E6">
      <w:start w:val="1"/>
      <w:numFmt w:val="bullet"/>
      <w:lvlText w:val=""/>
      <w:lvlJc w:val="left"/>
      <w:pPr>
        <w:ind w:left="5040" w:hanging="360"/>
      </w:pPr>
      <w:rPr>
        <w:rFonts w:ascii="Symbol" w:hAnsi="Symbol" w:hint="default"/>
      </w:rPr>
    </w:lvl>
    <w:lvl w:ilvl="7" w:tplc="EB3CE748">
      <w:start w:val="1"/>
      <w:numFmt w:val="bullet"/>
      <w:lvlText w:val="o"/>
      <w:lvlJc w:val="left"/>
      <w:pPr>
        <w:ind w:left="5760" w:hanging="360"/>
      </w:pPr>
      <w:rPr>
        <w:rFonts w:ascii="Courier New" w:hAnsi="Courier New" w:hint="default"/>
      </w:rPr>
    </w:lvl>
    <w:lvl w:ilvl="8" w:tplc="5866BEB0">
      <w:start w:val="1"/>
      <w:numFmt w:val="bullet"/>
      <w:lvlText w:val=""/>
      <w:lvlJc w:val="left"/>
      <w:pPr>
        <w:ind w:left="6480" w:hanging="360"/>
      </w:pPr>
      <w:rPr>
        <w:rFonts w:ascii="Wingdings" w:hAnsi="Wingdings" w:hint="default"/>
      </w:rPr>
    </w:lvl>
  </w:abstractNum>
  <w:abstractNum w:abstractNumId="22"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90091">
    <w:abstractNumId w:val="15"/>
  </w:num>
  <w:num w:numId="2" w16cid:durableId="802423706">
    <w:abstractNumId w:val="18"/>
  </w:num>
  <w:num w:numId="3" w16cid:durableId="1253205503">
    <w:abstractNumId w:val="20"/>
  </w:num>
  <w:num w:numId="4" w16cid:durableId="615646618">
    <w:abstractNumId w:val="1"/>
  </w:num>
  <w:num w:numId="5" w16cid:durableId="891119180">
    <w:abstractNumId w:val="3"/>
  </w:num>
  <w:num w:numId="6" w16cid:durableId="518011376">
    <w:abstractNumId w:val="11"/>
  </w:num>
  <w:num w:numId="7" w16cid:durableId="1744175867">
    <w:abstractNumId w:val="11"/>
    <w:lvlOverride w:ilvl="0">
      <w:startOverride w:val="1"/>
    </w:lvlOverride>
  </w:num>
  <w:num w:numId="8" w16cid:durableId="1768575447">
    <w:abstractNumId w:val="9"/>
  </w:num>
  <w:num w:numId="9" w16cid:durableId="988706680">
    <w:abstractNumId w:val="5"/>
  </w:num>
  <w:num w:numId="10" w16cid:durableId="1411463111">
    <w:abstractNumId w:val="8"/>
  </w:num>
  <w:num w:numId="11" w16cid:durableId="421069216">
    <w:abstractNumId w:val="2"/>
  </w:num>
  <w:num w:numId="12" w16cid:durableId="191648608">
    <w:abstractNumId w:val="22"/>
  </w:num>
  <w:num w:numId="13" w16cid:durableId="337462410">
    <w:abstractNumId w:val="19"/>
  </w:num>
  <w:num w:numId="14" w16cid:durableId="805902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38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394951">
    <w:abstractNumId w:val="12"/>
  </w:num>
  <w:num w:numId="17" w16cid:durableId="1637375569">
    <w:abstractNumId w:val="16"/>
  </w:num>
  <w:num w:numId="18" w16cid:durableId="159126630">
    <w:abstractNumId w:val="17"/>
  </w:num>
  <w:num w:numId="19" w16cid:durableId="1499467034">
    <w:abstractNumId w:val="6"/>
  </w:num>
  <w:num w:numId="20" w16cid:durableId="304824770">
    <w:abstractNumId w:val="10"/>
  </w:num>
  <w:num w:numId="21" w16cid:durableId="1149443495">
    <w:abstractNumId w:val="4"/>
  </w:num>
  <w:num w:numId="22" w16cid:durableId="257833642">
    <w:abstractNumId w:val="7"/>
  </w:num>
  <w:num w:numId="23" w16cid:durableId="1663852110">
    <w:abstractNumId w:val="13"/>
  </w:num>
  <w:num w:numId="24" w16cid:durableId="282931042">
    <w:abstractNumId w:val="14"/>
  </w:num>
  <w:num w:numId="25" w16cid:durableId="1406340896">
    <w:abstractNumId w:val="0"/>
  </w:num>
  <w:num w:numId="26" w16cid:durableId="1959026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E6"/>
    <w:rsid w:val="000502D5"/>
    <w:rsid w:val="00051BD6"/>
    <w:rsid w:val="00062C7D"/>
    <w:rsid w:val="00077CF0"/>
    <w:rsid w:val="000852E1"/>
    <w:rsid w:val="00090980"/>
    <w:rsid w:val="00096112"/>
    <w:rsid w:val="000A6F89"/>
    <w:rsid w:val="000C55D6"/>
    <w:rsid w:val="000E00D2"/>
    <w:rsid w:val="000E17FC"/>
    <w:rsid w:val="000E1B10"/>
    <w:rsid w:val="001013F4"/>
    <w:rsid w:val="0010672E"/>
    <w:rsid w:val="00111A68"/>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70F10"/>
    <w:rsid w:val="002803A7"/>
    <w:rsid w:val="00283160"/>
    <w:rsid w:val="002A3C5A"/>
    <w:rsid w:val="002A64D1"/>
    <w:rsid w:val="002A7241"/>
    <w:rsid w:val="002B487F"/>
    <w:rsid w:val="002C4B0F"/>
    <w:rsid w:val="002D0373"/>
    <w:rsid w:val="002E5F1F"/>
    <w:rsid w:val="00304F2B"/>
    <w:rsid w:val="00316F30"/>
    <w:rsid w:val="0033376A"/>
    <w:rsid w:val="00337DFA"/>
    <w:rsid w:val="0035124F"/>
    <w:rsid w:val="00353189"/>
    <w:rsid w:val="0035647B"/>
    <w:rsid w:val="00361FCF"/>
    <w:rsid w:val="00380288"/>
    <w:rsid w:val="003A547A"/>
    <w:rsid w:val="003B1B16"/>
    <w:rsid w:val="003B503F"/>
    <w:rsid w:val="003E16AA"/>
    <w:rsid w:val="004161FD"/>
    <w:rsid w:val="004338C6"/>
    <w:rsid w:val="00454D75"/>
    <w:rsid w:val="0049232C"/>
    <w:rsid w:val="004A3ECF"/>
    <w:rsid w:val="004B04FF"/>
    <w:rsid w:val="004D249B"/>
    <w:rsid w:val="004D5A4D"/>
    <w:rsid w:val="004D6DFA"/>
    <w:rsid w:val="004E1374"/>
    <w:rsid w:val="004E24E2"/>
    <w:rsid w:val="004F4C4E"/>
    <w:rsid w:val="00501E2A"/>
    <w:rsid w:val="00534B66"/>
    <w:rsid w:val="00542DE8"/>
    <w:rsid w:val="00551BFA"/>
    <w:rsid w:val="0056751B"/>
    <w:rsid w:val="005927C3"/>
    <w:rsid w:val="005959F1"/>
    <w:rsid w:val="005962E0"/>
    <w:rsid w:val="005A339C"/>
    <w:rsid w:val="005A5BE8"/>
    <w:rsid w:val="005B05AC"/>
    <w:rsid w:val="005B5622"/>
    <w:rsid w:val="005B78D7"/>
    <w:rsid w:val="005D14DF"/>
    <w:rsid w:val="005D18AA"/>
    <w:rsid w:val="005E5D31"/>
    <w:rsid w:val="0060134C"/>
    <w:rsid w:val="006014D2"/>
    <w:rsid w:val="00624131"/>
    <w:rsid w:val="00624DEC"/>
    <w:rsid w:val="00634BBA"/>
    <w:rsid w:val="0066656C"/>
    <w:rsid w:val="006669E7"/>
    <w:rsid w:val="0067629D"/>
    <w:rsid w:val="006971E0"/>
    <w:rsid w:val="006C5298"/>
    <w:rsid w:val="006C53C6"/>
    <w:rsid w:val="006D3CEF"/>
    <w:rsid w:val="006D527C"/>
    <w:rsid w:val="006F5AEC"/>
    <w:rsid w:val="006F7556"/>
    <w:rsid w:val="0072045A"/>
    <w:rsid w:val="00733386"/>
    <w:rsid w:val="007620F0"/>
    <w:rsid w:val="00770802"/>
    <w:rsid w:val="00782A92"/>
    <w:rsid w:val="00797721"/>
    <w:rsid w:val="007A21E4"/>
    <w:rsid w:val="007B7895"/>
    <w:rsid w:val="007C483B"/>
    <w:rsid w:val="007C78CA"/>
    <w:rsid w:val="007D1D57"/>
    <w:rsid w:val="007E57B9"/>
    <w:rsid w:val="00807121"/>
    <w:rsid w:val="00813ED4"/>
    <w:rsid w:val="00826B23"/>
    <w:rsid w:val="00835E24"/>
    <w:rsid w:val="00840515"/>
    <w:rsid w:val="00873234"/>
    <w:rsid w:val="008945E6"/>
    <w:rsid w:val="0089665B"/>
    <w:rsid w:val="008A63FE"/>
    <w:rsid w:val="008B1E35"/>
    <w:rsid w:val="008B2F11"/>
    <w:rsid w:val="008D1EC3"/>
    <w:rsid w:val="008E2AA9"/>
    <w:rsid w:val="008F6E93"/>
    <w:rsid w:val="009138D4"/>
    <w:rsid w:val="009307B7"/>
    <w:rsid w:val="00931656"/>
    <w:rsid w:val="00943FA5"/>
    <w:rsid w:val="00947A45"/>
    <w:rsid w:val="00976A73"/>
    <w:rsid w:val="00980A57"/>
    <w:rsid w:val="009925ED"/>
    <w:rsid w:val="009931DB"/>
    <w:rsid w:val="009C0167"/>
    <w:rsid w:val="009C7E88"/>
    <w:rsid w:val="009F1D83"/>
    <w:rsid w:val="009F1E23"/>
    <w:rsid w:val="00A04A04"/>
    <w:rsid w:val="00A070B9"/>
    <w:rsid w:val="00A25C7E"/>
    <w:rsid w:val="00A30A98"/>
    <w:rsid w:val="00A312B2"/>
    <w:rsid w:val="00A5267D"/>
    <w:rsid w:val="00A5268C"/>
    <w:rsid w:val="00A53F7F"/>
    <w:rsid w:val="00A54075"/>
    <w:rsid w:val="00A56645"/>
    <w:rsid w:val="00A67816"/>
    <w:rsid w:val="00A8783E"/>
    <w:rsid w:val="00AB042E"/>
    <w:rsid w:val="00AC0728"/>
    <w:rsid w:val="00AC60C9"/>
    <w:rsid w:val="00AE36D7"/>
    <w:rsid w:val="00AF7E31"/>
    <w:rsid w:val="00B107DD"/>
    <w:rsid w:val="00B14230"/>
    <w:rsid w:val="00B453BC"/>
    <w:rsid w:val="00B46C00"/>
    <w:rsid w:val="00B47BF8"/>
    <w:rsid w:val="00B60F00"/>
    <w:rsid w:val="00B61EC0"/>
    <w:rsid w:val="00B735D1"/>
    <w:rsid w:val="00B75013"/>
    <w:rsid w:val="00B80FB4"/>
    <w:rsid w:val="00B85B70"/>
    <w:rsid w:val="00B9180E"/>
    <w:rsid w:val="00B9637E"/>
    <w:rsid w:val="00B964AE"/>
    <w:rsid w:val="00B96E8A"/>
    <w:rsid w:val="00BC2798"/>
    <w:rsid w:val="00BF02F1"/>
    <w:rsid w:val="00C40D39"/>
    <w:rsid w:val="00C55EFB"/>
    <w:rsid w:val="00C63D9F"/>
    <w:rsid w:val="00C82428"/>
    <w:rsid w:val="00C96C8F"/>
    <w:rsid w:val="00CA7D21"/>
    <w:rsid w:val="00CB19EC"/>
    <w:rsid w:val="00CB1D9E"/>
    <w:rsid w:val="00CB6CA0"/>
    <w:rsid w:val="00CD57DB"/>
    <w:rsid w:val="00CE0301"/>
    <w:rsid w:val="00CE56EE"/>
    <w:rsid w:val="00CF1E31"/>
    <w:rsid w:val="00D04EA5"/>
    <w:rsid w:val="00D065EF"/>
    <w:rsid w:val="00D075E1"/>
    <w:rsid w:val="00D26F29"/>
    <w:rsid w:val="00D3503C"/>
    <w:rsid w:val="00D42568"/>
    <w:rsid w:val="00D44C61"/>
    <w:rsid w:val="00D6727A"/>
    <w:rsid w:val="00D75EB4"/>
    <w:rsid w:val="00D859A3"/>
    <w:rsid w:val="00D85E33"/>
    <w:rsid w:val="00D9315C"/>
    <w:rsid w:val="00D95F48"/>
    <w:rsid w:val="00DA32F9"/>
    <w:rsid w:val="00DB264A"/>
    <w:rsid w:val="00DD016B"/>
    <w:rsid w:val="00DD422B"/>
    <w:rsid w:val="00E04C11"/>
    <w:rsid w:val="00E06D2A"/>
    <w:rsid w:val="00E120DF"/>
    <w:rsid w:val="00E13CE0"/>
    <w:rsid w:val="00E208DA"/>
    <w:rsid w:val="00E412A6"/>
    <w:rsid w:val="00E56EBE"/>
    <w:rsid w:val="00E57F0F"/>
    <w:rsid w:val="00E62B0B"/>
    <w:rsid w:val="00E8128D"/>
    <w:rsid w:val="00EA697D"/>
    <w:rsid w:val="00EA73F8"/>
    <w:rsid w:val="00EB0C85"/>
    <w:rsid w:val="00EB31FA"/>
    <w:rsid w:val="00EC504F"/>
    <w:rsid w:val="00EC75A5"/>
    <w:rsid w:val="00EE208C"/>
    <w:rsid w:val="00F06E24"/>
    <w:rsid w:val="00F11E7F"/>
    <w:rsid w:val="00F12148"/>
    <w:rsid w:val="00F13A51"/>
    <w:rsid w:val="00F24E72"/>
    <w:rsid w:val="00F278FE"/>
    <w:rsid w:val="00F337DD"/>
    <w:rsid w:val="00F42F91"/>
    <w:rsid w:val="00F5363A"/>
    <w:rsid w:val="00F7162A"/>
    <w:rsid w:val="00F81A6C"/>
    <w:rsid w:val="00F9091C"/>
    <w:rsid w:val="00FA3312"/>
    <w:rsid w:val="00FB5C97"/>
    <w:rsid w:val="00FD23DC"/>
    <w:rsid w:val="00FD56BF"/>
    <w:rsid w:val="27C04FAC"/>
    <w:rsid w:val="27D2F6DC"/>
    <w:rsid w:val="30B6E8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A3B7E"/>
  <w15:docId w15:val="{25165F55-3085-454F-A796-0BFCF699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7B7895"/>
    <w:pPr>
      <w:keepNext/>
      <w:keepLines/>
      <w:pageBreakBefore/>
      <w:spacing w:before="480"/>
      <w:ind w:left="567" w:hanging="567"/>
      <w:outlineLvl w:val="0"/>
    </w:pPr>
    <w:rPr>
      <w:rFonts w:ascii="EC Square Sans Pro Extra Black" w:eastAsiaTheme="majorEastAsia" w:hAnsi="EC Square Sans Pro Extra Black"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7B7895"/>
    <w:pPr>
      <w:keepNext/>
      <w:keepLines/>
      <w:spacing w:before="200"/>
      <w:ind w:left="576" w:hanging="576"/>
      <w:outlineLvl w:val="1"/>
    </w:pPr>
    <w:rPr>
      <w:rFonts w:ascii="EC Square Sans Pro Extra Black" w:eastAsiaTheme="majorEastAsia" w:hAnsi="EC Square Sans Pro Extra Black" w:cstheme="majorBidi"/>
      <w:bCs/>
      <w:color w:val="1C3046"/>
      <w:sz w:val="32"/>
      <w:szCs w:val="26"/>
    </w:rPr>
  </w:style>
  <w:style w:type="paragraph" w:styleId="Heading3">
    <w:name w:val="heading 3"/>
    <w:basedOn w:val="Normal"/>
    <w:next w:val="Normal"/>
    <w:link w:val="Heading3Char"/>
    <w:autoRedefine/>
    <w:uiPriority w:val="9"/>
    <w:unhideWhenUsed/>
    <w:qFormat/>
    <w:rsid w:val="007B7895"/>
    <w:pPr>
      <w:keepNext/>
      <w:keepLines/>
      <w:spacing w:before="200"/>
      <w:ind w:left="720" w:hanging="72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7895"/>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7B7895"/>
    <w:rPr>
      <w:rFonts w:ascii="EC Square Sans Pro Extra Black" w:eastAsiaTheme="majorEastAsia" w:hAnsi="EC Square Sans Pro Extra Black" w:cstheme="majorBidi"/>
      <w:b/>
      <w:bCs/>
      <w:color w:val="1C3046"/>
      <w:sz w:val="40"/>
      <w:szCs w:val="28"/>
    </w:rPr>
  </w:style>
  <w:style w:type="character" w:customStyle="1" w:styleId="Heading2Char">
    <w:name w:val="Heading 2 Char"/>
    <w:basedOn w:val="DefaultParagraphFont"/>
    <w:link w:val="Heading2"/>
    <w:uiPriority w:val="9"/>
    <w:rsid w:val="007B7895"/>
    <w:rPr>
      <w:rFonts w:ascii="EC Square Sans Pro Extra Black" w:eastAsiaTheme="majorEastAsia" w:hAnsi="EC Square Sans Pro Extra Black"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Revision">
    <w:name w:val="Revision"/>
    <w:hidden/>
    <w:uiPriority w:val="99"/>
    <w:semiHidden/>
    <w:rsid w:val="0033376A"/>
    <w:pPr>
      <w:spacing w:after="0" w:line="240" w:lineRule="auto"/>
    </w:pPr>
    <w:rPr>
      <w:rFonts w:ascii="Calibri" w:hAnsi="Calibri"/>
      <w:spacing w:val="2"/>
    </w:rPr>
  </w:style>
  <w:style w:type="numbering" w:customStyle="1" w:styleId="Elencocorrente1">
    <w:name w:val="Elenco corrente1"/>
    <w:uiPriority w:val="99"/>
    <w:rsid w:val="0033376A"/>
    <w:pPr>
      <w:numPr>
        <w:numId w:val="21"/>
      </w:numPr>
    </w:pPr>
  </w:style>
  <w:style w:type="numbering" w:customStyle="1" w:styleId="Elencocorrente2">
    <w:name w:val="Elenco corrente2"/>
    <w:uiPriority w:val="99"/>
    <w:rsid w:val="004D5A4D"/>
    <w:pPr>
      <w:numPr>
        <w:numId w:val="23"/>
      </w:numPr>
    </w:pPr>
  </w:style>
  <w:style w:type="character" w:styleId="UnresolvedMention">
    <w:name w:val="Unresolved Mention"/>
    <w:basedOn w:val="DefaultParagraphFont"/>
    <w:uiPriority w:val="99"/>
    <w:semiHidden/>
    <w:unhideWhenUsed/>
    <w:rsid w:val="00AC0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stination-earth.eu/destination-earth/destines-building-blocks/destination-earth-service-platfor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igital-strategy.ec.europa.eu/en/policies/destination-eart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umetsat.int/eumetsat-council-approves-next-phase-involvement-destination-eart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arrillo@trust-itservices.com" TargetMode="External"/><Relationship Id="rId5" Type="http://schemas.openxmlformats.org/officeDocument/2006/relationships/numbering" Target="numbering.xml"/><Relationship Id="rId15" Type="http://schemas.openxmlformats.org/officeDocument/2006/relationships/hyperlink" Target="https://www.esa.int/Applications/Observing_the_Earth/ESA_forges_ahead_with_Destination_Eart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ies.ecmwf.int/destination-earth/index.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gi\Desktop\LUIGI\DestinE\MEDIA\COMMs%20Kit\DestinE\Document%20and%20Presentation%20Templates\Desination%20Earth_Letterhead%20-%20Cop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B0877AE03854480FC574A68B37D74" ma:contentTypeVersion="14" ma:contentTypeDescription="Create a new document." ma:contentTypeScope="" ma:versionID="044f42959a1d5471c842d8f99d26a40b">
  <xsd:schema xmlns:xsd="http://www.w3.org/2001/XMLSchema" xmlns:xs="http://www.w3.org/2001/XMLSchema" xmlns:p="http://schemas.microsoft.com/office/2006/metadata/properties" xmlns:ns2="e52e99af-e22b-4a66-9c8b-20198721f093" xmlns:ns3="1c1e1866-b0c4-4e07-91cc-633d9c28dc39" targetNamespace="http://schemas.microsoft.com/office/2006/metadata/properties" ma:root="true" ma:fieldsID="e0dd7656b17ec4688f2dd9a9ba7c357e" ns2:_="" ns3:_="">
    <xsd:import namespace="e52e99af-e22b-4a66-9c8b-20198721f093"/>
    <xsd:import namespace="1c1e1866-b0c4-4e07-91cc-633d9c28d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e99af-e22b-4a66-9c8b-20198721f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4beaa3-a1fb-4dfd-bbf1-cfc6f70e07c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1e1866-b0c4-4e07-91cc-633d9c28dc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c0da12-cd0d-4e5b-a95e-12251753d4fb}" ma:internalName="TaxCatchAll" ma:showField="CatchAllData" ma:web="1c1e1866-b0c4-4e07-91cc-633d9c28dc3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1e1866-b0c4-4e07-91cc-633d9c28dc39" xsi:nil="true"/>
    <lcf76f155ced4ddcb4097134ff3c332f xmlns="e52e99af-e22b-4a66-9c8b-20198721f0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A60B8-E627-4C96-9F4C-00CA3C349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e99af-e22b-4a66-9c8b-20198721f093"/>
    <ds:schemaRef ds:uri="1c1e1866-b0c4-4e07-91cc-633d9c28d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5FB37-8AB0-4129-BA03-7A10568969B3}">
  <ds:schemaRefs>
    <ds:schemaRef ds:uri="http://schemas.microsoft.com/sharepoint/v3/contenttype/forms"/>
  </ds:schemaRefs>
</ds:datastoreItem>
</file>

<file path=customXml/itemProps3.xml><?xml version="1.0" encoding="utf-8"?>
<ds:datastoreItem xmlns:ds="http://schemas.openxmlformats.org/officeDocument/2006/customXml" ds:itemID="{7EAC3B7E-8B9A-4156-A8B5-EF06D670A553}">
  <ds:schemaRefs>
    <ds:schemaRef ds:uri="http://schemas.microsoft.com/office/2006/metadata/properties"/>
    <ds:schemaRef ds:uri="http://schemas.microsoft.com/office/infopath/2007/PartnerControls"/>
    <ds:schemaRef ds:uri="1c1e1866-b0c4-4e07-91cc-633d9c28dc39"/>
    <ds:schemaRef ds:uri="e52e99af-e22b-4a66-9c8b-20198721f093"/>
  </ds:schemaRefs>
</ds:datastoreItem>
</file>

<file path=customXml/itemProps4.xml><?xml version="1.0" encoding="utf-8"?>
<ds:datastoreItem xmlns:ds="http://schemas.openxmlformats.org/officeDocument/2006/customXml" ds:itemID="{8829F755-4004-C447-ACC5-394A81A6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Desination Earth_Letterhead - Copia</Template>
  <TotalTime>6</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Luigi Colucci</dc:creator>
  <cp:lastModifiedBy>Diego Dylan Domenici</cp:lastModifiedBy>
  <cp:revision>4</cp:revision>
  <cp:lastPrinted>2018-02-01T16:55:00Z</cp:lastPrinted>
  <dcterms:created xsi:type="dcterms:W3CDTF">2023-12-14T09:51:00Z</dcterms:created>
  <dcterms:modified xsi:type="dcterms:W3CDTF">2023-12-14T13:51:00Z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0x010100831B0877AE03854480FC574A68B37D74</vt:lpwstr>
  </property>
  <property fmtid="{D5CDD505-2E9C-101B-9397-08002B2CF9AE}" pid="3" name="MediaServiceImageTags">
    <vt:lpwstr/>
  </property>
</Properties>
</file>